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1289" w14:textId="77777777" w:rsidR="00C66875" w:rsidRPr="00986A91" w:rsidRDefault="00C66875" w:rsidP="00C66875">
      <w:pPr>
        <w:jc w:val="center"/>
        <w:rPr>
          <w:rFonts w:ascii="Cambria" w:hAnsi="Cambria" w:cstheme="minorHAnsi"/>
          <w:b/>
        </w:rPr>
      </w:pPr>
      <w:r w:rsidRPr="00986A91">
        <w:rPr>
          <w:rFonts w:ascii="Cambria" w:hAnsi="Cambria" w:cstheme="minorHAnsi"/>
          <w:b/>
        </w:rPr>
        <w:t>Procedura za interne radne naloge</w:t>
      </w:r>
      <w:r>
        <w:rPr>
          <w:rFonts w:ascii="Cambria" w:hAnsi="Cambria" w:cstheme="minorHAnsi"/>
          <w:b/>
        </w:rPr>
        <w:t xml:space="preserve"> u </w:t>
      </w:r>
      <w:r w:rsidRPr="00986A91">
        <w:rPr>
          <w:rFonts w:ascii="Cambria" w:hAnsi="Cambria" w:cstheme="minorHAnsi"/>
          <w:b/>
        </w:rPr>
        <w:t xml:space="preserve"> </w:t>
      </w:r>
      <w:r>
        <w:rPr>
          <w:rFonts w:ascii="Cambria" w:hAnsi="Cambria" w:cstheme="minorHAnsi"/>
          <w:b/>
        </w:rPr>
        <w:t>J</w:t>
      </w:r>
      <w:r w:rsidRPr="00986A91">
        <w:rPr>
          <w:rFonts w:ascii="Cambria" w:hAnsi="Cambria" w:cstheme="minorHAnsi"/>
          <w:b/>
        </w:rPr>
        <w:t>P</w:t>
      </w:r>
      <w:r>
        <w:rPr>
          <w:rFonts w:ascii="Cambria" w:hAnsi="Cambria" w:cstheme="minorHAnsi"/>
          <w:b/>
        </w:rPr>
        <w:t>''Vodovod i kanalizacija Kalesija''doo Kalesija</w:t>
      </w:r>
    </w:p>
    <w:p w14:paraId="7BF0BF2C" w14:textId="77777777" w:rsidR="00C66875" w:rsidRPr="00986A91" w:rsidRDefault="00C66875" w:rsidP="00C66875">
      <w:pPr>
        <w:jc w:val="center"/>
        <w:rPr>
          <w:rFonts w:ascii="Cambria" w:hAnsi="Cambria" w:cstheme="minorHAnsi"/>
          <w:b/>
        </w:rPr>
      </w:pPr>
    </w:p>
    <w:p w14:paraId="5DE2FE08" w14:textId="77777777" w:rsidR="00C66875" w:rsidRPr="00986A91" w:rsidRDefault="00C66875" w:rsidP="00C66875">
      <w:pPr>
        <w:pStyle w:val="ListParagraph"/>
        <w:numPr>
          <w:ilvl w:val="0"/>
          <w:numId w:val="18"/>
        </w:numPr>
        <w:spacing w:line="240" w:lineRule="auto"/>
        <w:ind w:left="567" w:hanging="567"/>
        <w:contextualSpacing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>UVOD</w:t>
      </w:r>
    </w:p>
    <w:p w14:paraId="68386D45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>Svrha internih radnih naloga je omogućiti orga</w:t>
      </w:r>
      <w:r>
        <w:rPr>
          <w:rFonts w:ascii="Cambria" w:hAnsi="Cambria" w:cstheme="minorHAnsi"/>
        </w:rPr>
        <w:t>nizacionim jedinicama unutar preduzeća</w:t>
      </w:r>
      <w:r w:rsidRPr="00986A91">
        <w:rPr>
          <w:rFonts w:ascii="Cambria" w:hAnsi="Cambria" w:cstheme="minorHAnsi"/>
        </w:rPr>
        <w:t xml:space="preserve"> dobivanje resursa potrebnih za izvršenje neophodnih zadataka i, s druge strane, omogućiti praćenje napretka u izvršavanju istih. Ra</w:t>
      </w:r>
      <w:r>
        <w:rPr>
          <w:rFonts w:ascii="Cambria" w:hAnsi="Cambria" w:cstheme="minorHAnsi"/>
        </w:rPr>
        <w:t>dni nalozi također omogućuju preduzeću</w:t>
      </w:r>
      <w:r w:rsidRPr="00986A91">
        <w:rPr>
          <w:rFonts w:ascii="Cambria" w:hAnsi="Cambria" w:cstheme="minorHAnsi"/>
        </w:rPr>
        <w:t xml:space="preserve"> da planiraju raspored angažiranosti svojih zaposlenika i resursa kao i razmatranje troškova nakon završetka aktivnosti po radnom nalogu. Iz perspektive korisnika usluge, radni nalog pruža mogućnost uvida u status realizacije podnesenog zahtjeva / prijave i planiranja u skladu s istim.</w:t>
      </w:r>
    </w:p>
    <w:p w14:paraId="57C4CD47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</w:p>
    <w:p w14:paraId="3403F522" w14:textId="77777777" w:rsidR="00C66875" w:rsidRPr="00986A91" w:rsidRDefault="00C66875" w:rsidP="00C66875">
      <w:pPr>
        <w:pStyle w:val="ListParagraph"/>
        <w:numPr>
          <w:ilvl w:val="0"/>
          <w:numId w:val="18"/>
        </w:numPr>
        <w:spacing w:line="240" w:lineRule="auto"/>
        <w:ind w:left="567" w:hanging="567"/>
        <w:contextualSpacing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>PROCEDURA INTERNOG RADNOG NALOGA</w:t>
      </w:r>
    </w:p>
    <w:p w14:paraId="16DFF91D" w14:textId="77777777" w:rsidR="00C66875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 xml:space="preserve">Proceduru internog radnog naloga čini: </w:t>
      </w:r>
    </w:p>
    <w:p w14:paraId="29648642" w14:textId="77777777" w:rsidR="00C66875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 xml:space="preserve">1) Otvaranje radnog naloga, </w:t>
      </w:r>
    </w:p>
    <w:p w14:paraId="107F58B6" w14:textId="77777777" w:rsidR="00C66875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>2) Realizacija radnog naloga,</w:t>
      </w:r>
    </w:p>
    <w:p w14:paraId="007B0394" w14:textId="77777777" w:rsidR="00C66875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>3) Zaključenje rad</w:t>
      </w:r>
      <w:r>
        <w:rPr>
          <w:rFonts w:ascii="Cambria" w:hAnsi="Cambria" w:cstheme="minorHAnsi"/>
        </w:rPr>
        <w:t xml:space="preserve">nog naloga, </w:t>
      </w:r>
    </w:p>
    <w:p w14:paraId="0A4506DB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>4) Obrada i završetak radnog naloga.</w:t>
      </w:r>
    </w:p>
    <w:p w14:paraId="1524BAFB" w14:textId="77777777" w:rsidR="00C66875" w:rsidRPr="00986A91" w:rsidRDefault="00C66875" w:rsidP="00C66875">
      <w:pPr>
        <w:pStyle w:val="ListParagraph"/>
        <w:numPr>
          <w:ilvl w:val="1"/>
          <w:numId w:val="13"/>
        </w:numPr>
        <w:spacing w:line="240" w:lineRule="auto"/>
        <w:ind w:left="567" w:hanging="567"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>Otvaranje radnog naloga</w:t>
      </w:r>
    </w:p>
    <w:p w14:paraId="3D25EFBC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>Radni nalog se otvara u slučaju:</w:t>
      </w:r>
    </w:p>
    <w:p w14:paraId="736AD87F" w14:textId="77777777" w:rsidR="00C66875" w:rsidRPr="00986A91" w:rsidRDefault="00C66875" w:rsidP="00C66875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Cambria" w:hAnsi="Cambria" w:cstheme="minorHAnsi"/>
          <w:lang w:val="hr-HR"/>
        </w:rPr>
      </w:pPr>
      <w:r w:rsidRPr="00986A91">
        <w:rPr>
          <w:rFonts w:ascii="Cambria" w:hAnsi="Cambria" w:cstheme="minorHAnsi"/>
          <w:lang w:val="hr-HR"/>
        </w:rPr>
        <w:t>Redovnog održavanja vodovodne i kanalizacione mreže (uključujući zamjenu vodomjera);</w:t>
      </w:r>
    </w:p>
    <w:p w14:paraId="65007685" w14:textId="77777777" w:rsidR="00C66875" w:rsidRPr="00986A91" w:rsidRDefault="00C66875" w:rsidP="00C66875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Cambria" w:hAnsi="Cambria" w:cstheme="minorHAnsi"/>
          <w:lang w:val="hr-HR"/>
        </w:rPr>
      </w:pPr>
      <w:r w:rsidRPr="00986A91">
        <w:rPr>
          <w:rFonts w:ascii="Cambria" w:hAnsi="Cambria" w:cstheme="minorHAnsi"/>
          <w:lang w:val="hr-HR"/>
        </w:rPr>
        <w:t>Prijave kvara od strane korisn</w:t>
      </w:r>
      <w:r>
        <w:rPr>
          <w:rFonts w:ascii="Cambria" w:hAnsi="Cambria" w:cstheme="minorHAnsi"/>
          <w:lang w:val="hr-HR"/>
        </w:rPr>
        <w:t>ika usluge i/ili zaposlenika preduzeća</w:t>
      </w:r>
      <w:r w:rsidRPr="00986A91">
        <w:rPr>
          <w:rFonts w:ascii="Cambria" w:hAnsi="Cambria" w:cstheme="minorHAnsi"/>
          <w:lang w:val="hr-HR"/>
        </w:rPr>
        <w:t>;</w:t>
      </w:r>
    </w:p>
    <w:p w14:paraId="5DCFCC38" w14:textId="77777777" w:rsidR="00C66875" w:rsidRPr="00986A91" w:rsidRDefault="00C66875" w:rsidP="00C66875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Cambria" w:hAnsi="Cambria" w:cstheme="minorHAnsi"/>
          <w:lang w:val="hr-HR"/>
        </w:rPr>
      </w:pPr>
      <w:r w:rsidRPr="00986A91">
        <w:rPr>
          <w:rFonts w:ascii="Cambria" w:hAnsi="Cambria" w:cstheme="minorHAnsi"/>
          <w:lang w:val="hr-HR"/>
        </w:rPr>
        <w:t>Zahtjeva za priključenje na vodovodnu / kanalizacionu mrežu.</w:t>
      </w:r>
    </w:p>
    <w:p w14:paraId="07DA5C82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</w:p>
    <w:p w14:paraId="5F1BAABC" w14:textId="77777777" w:rsidR="00C66875" w:rsidRPr="00986A91" w:rsidRDefault="00C66875" w:rsidP="00C66875">
      <w:pPr>
        <w:pStyle w:val="ListParagraph"/>
        <w:numPr>
          <w:ilvl w:val="1"/>
          <w:numId w:val="15"/>
        </w:numPr>
        <w:spacing w:after="0" w:line="240" w:lineRule="auto"/>
        <w:ind w:left="567" w:hanging="567"/>
        <w:contextualSpacing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>Redovno održavanje</w:t>
      </w:r>
    </w:p>
    <w:p w14:paraId="4371E163" w14:textId="77777777" w:rsidR="00C66875" w:rsidRPr="00986A91" w:rsidRDefault="00C66875" w:rsidP="00C66875">
      <w:pPr>
        <w:jc w:val="both"/>
        <w:rPr>
          <w:rFonts w:ascii="Cambria" w:hAnsi="Cambria"/>
        </w:rPr>
      </w:pPr>
      <w:r w:rsidRPr="394AC59B">
        <w:rPr>
          <w:rFonts w:ascii="Cambria" w:hAnsi="Cambria"/>
        </w:rPr>
        <w:t xml:space="preserve">Radni nalozi za redovno održavanje vodovodne i kanalizacione mreže se otvaraju u skladu s usvojenim Planom redovnog održavanja vodovodne i kanalizacione mreže. Ovaj Plan se priprema u okviru godišnjih operativnih planova preduzeća, a zasniva se na podacima o stanju vodovodne i kanalizacione mreže (starost, učestalost kvarova, i sl.). Plan izrađuju </w:t>
      </w:r>
      <w:r>
        <w:rPr>
          <w:rFonts w:ascii="Cambria" w:hAnsi="Cambria"/>
        </w:rPr>
        <w:t xml:space="preserve">Tehnički sektor </w:t>
      </w:r>
      <w:r w:rsidRPr="394AC59B">
        <w:rPr>
          <w:rFonts w:ascii="Cambria" w:hAnsi="Cambria"/>
        </w:rPr>
        <w:t xml:space="preserve">, odnosno </w:t>
      </w:r>
      <w:r>
        <w:rPr>
          <w:rFonts w:ascii="Cambria" w:hAnsi="Cambria"/>
        </w:rPr>
        <w:t>rukovodiov tehničkog sektora.</w:t>
      </w:r>
      <w:r w:rsidRPr="394AC59B">
        <w:rPr>
          <w:rFonts w:ascii="Cambria" w:hAnsi="Cambria"/>
        </w:rPr>
        <w:t xml:space="preserve"> Plan redovnog održavanja treba pripremiti na vrijeme kako bi mogao biti sastavni dio godišnjeg operativnog plana preduzeća i kao takav usvojen od strane uprave preduzeća.</w:t>
      </w:r>
      <w:r>
        <w:rPr>
          <w:rFonts w:ascii="Cambria" w:hAnsi="Cambria"/>
        </w:rPr>
        <w:t xml:space="preserve"> </w:t>
      </w:r>
      <w:r w:rsidRPr="394AC59B">
        <w:rPr>
          <w:rFonts w:ascii="Cambria" w:hAnsi="Cambria"/>
        </w:rPr>
        <w:t xml:space="preserve">Plan redovnog održavanja treba pripremiti ne kasnije od kraja novembra tekuće godine za narednu godinu. Odgovornost za izradu plana ima </w:t>
      </w:r>
      <w:r>
        <w:rPr>
          <w:rFonts w:ascii="Cambria" w:hAnsi="Cambria"/>
        </w:rPr>
        <w:t>rukovodioc tehničkog sektora.</w:t>
      </w:r>
    </w:p>
    <w:p w14:paraId="02E06CCF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>Ukoliko se radi o obimnijim projektima, radni nalog se otvara na mjesečnom nivou i, u slučaju potrebe, produžava najkasnije prvi radni dan u narednom mjesecu.</w:t>
      </w:r>
    </w:p>
    <w:p w14:paraId="76BAEC81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</w:p>
    <w:p w14:paraId="7C10109D" w14:textId="77777777" w:rsidR="00C66875" w:rsidRPr="00986A91" w:rsidRDefault="00C66875" w:rsidP="00C66875">
      <w:pPr>
        <w:pStyle w:val="ListParagraph"/>
        <w:numPr>
          <w:ilvl w:val="1"/>
          <w:numId w:val="15"/>
        </w:numPr>
        <w:spacing w:after="0" w:line="240" w:lineRule="auto"/>
        <w:ind w:left="567" w:hanging="567"/>
        <w:contextualSpacing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>Prijava kvara</w:t>
      </w:r>
    </w:p>
    <w:p w14:paraId="0F5A62A1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>Postupak za prijavu kvara može pokrenuti:</w:t>
      </w:r>
    </w:p>
    <w:p w14:paraId="19867D41" w14:textId="77777777" w:rsidR="00C66875" w:rsidRPr="00986A91" w:rsidRDefault="00C66875" w:rsidP="00C66875">
      <w:pPr>
        <w:pStyle w:val="ListParagraph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Cambria" w:hAnsi="Cambria" w:cstheme="minorHAnsi"/>
          <w:lang w:val="hr-HR"/>
        </w:rPr>
      </w:pPr>
      <w:r w:rsidRPr="00986A91">
        <w:rPr>
          <w:rFonts w:ascii="Cambria" w:hAnsi="Cambria" w:cstheme="minorHAnsi"/>
          <w:lang w:val="hr-HR"/>
        </w:rPr>
        <w:t>Građanin / korisnik usluge;</w:t>
      </w:r>
    </w:p>
    <w:p w14:paraId="577FD405" w14:textId="77777777" w:rsidR="00C66875" w:rsidRPr="00986A91" w:rsidRDefault="00C66875" w:rsidP="00C66875">
      <w:pPr>
        <w:pStyle w:val="ListParagraph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Cambria" w:hAnsi="Cambria" w:cstheme="minorHAnsi"/>
          <w:lang w:val="hr-HR"/>
        </w:rPr>
      </w:pPr>
      <w:r w:rsidRPr="00986A91">
        <w:rPr>
          <w:rFonts w:ascii="Cambria" w:hAnsi="Cambria" w:cstheme="minorHAnsi"/>
          <w:lang w:val="hr-HR"/>
        </w:rPr>
        <w:t>Zaposlenik</w:t>
      </w:r>
      <w:r>
        <w:rPr>
          <w:rFonts w:ascii="Cambria" w:hAnsi="Cambria" w:cstheme="minorHAnsi"/>
          <w:lang w:val="hr-HR"/>
        </w:rPr>
        <w:t xml:space="preserve"> preduzeća</w:t>
      </w:r>
      <w:r w:rsidRPr="00986A91">
        <w:rPr>
          <w:rFonts w:ascii="Cambria" w:hAnsi="Cambria" w:cstheme="minorHAnsi"/>
          <w:lang w:val="hr-HR"/>
        </w:rPr>
        <w:t>.</w:t>
      </w:r>
    </w:p>
    <w:p w14:paraId="5DF5A080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</w:p>
    <w:p w14:paraId="331B42CA" w14:textId="77777777" w:rsidR="00C66875" w:rsidRPr="00986A91" w:rsidRDefault="00C66875" w:rsidP="00C66875">
      <w:pPr>
        <w:pStyle w:val="ListParagraph"/>
        <w:numPr>
          <w:ilvl w:val="2"/>
          <w:numId w:val="15"/>
        </w:numPr>
        <w:spacing w:after="0" w:line="240" w:lineRule="auto"/>
        <w:ind w:left="567" w:hanging="567"/>
        <w:contextualSpacing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lastRenderedPageBreak/>
        <w:t>Prijava kvara od strane građanina/korisnika usluge</w:t>
      </w:r>
    </w:p>
    <w:p w14:paraId="37DE15A0" w14:textId="77777777" w:rsidR="00C66875" w:rsidRPr="00986A91" w:rsidRDefault="00C66875" w:rsidP="00C66875">
      <w:pPr>
        <w:jc w:val="both"/>
        <w:rPr>
          <w:rFonts w:ascii="Cambria" w:hAnsi="Cambria"/>
        </w:rPr>
      </w:pPr>
      <w:r w:rsidRPr="394AC59B">
        <w:rPr>
          <w:rFonts w:ascii="Cambria" w:hAnsi="Cambria"/>
        </w:rPr>
        <w:t xml:space="preserve">Kvar se prijavljuje </w:t>
      </w:r>
      <w:r>
        <w:rPr>
          <w:rFonts w:ascii="Cambria" w:hAnsi="Cambria"/>
        </w:rPr>
        <w:t>u Službu plana, razvoja izgradnje i odnosa sa korisnicima – Referentu odnosa sa korisnicima i koordinatoru na projektima</w:t>
      </w:r>
      <w:r w:rsidRPr="394AC59B">
        <w:rPr>
          <w:rFonts w:ascii="Cambria" w:hAnsi="Cambria"/>
        </w:rPr>
        <w:t xml:space="preserve"> telefonski ili lično, koji putem propisanog obrasca evidentiraju prijavu kvara.</w:t>
      </w:r>
    </w:p>
    <w:p w14:paraId="5DF07796" w14:textId="77777777" w:rsidR="00C66875" w:rsidRPr="00986A91" w:rsidRDefault="00C66875" w:rsidP="00C66875">
      <w:pPr>
        <w:jc w:val="both"/>
        <w:rPr>
          <w:rFonts w:ascii="Cambria" w:hAnsi="Cambria"/>
        </w:rPr>
      </w:pPr>
      <w:r w:rsidRPr="394AC59B">
        <w:rPr>
          <w:rFonts w:ascii="Cambria" w:hAnsi="Cambria"/>
        </w:rPr>
        <w:t xml:space="preserve">Ukoliko je kvar prijavljen u okviru radnog vremena , prijava kvara se šalje u </w:t>
      </w:r>
      <w:r>
        <w:rPr>
          <w:rFonts w:ascii="Cambria" w:hAnsi="Cambria"/>
        </w:rPr>
        <w:t>Tehnički sektor u Službu vodovoda i kanalizacije</w:t>
      </w:r>
      <w:r w:rsidRPr="394AC59B">
        <w:rPr>
          <w:rFonts w:ascii="Cambria" w:hAnsi="Cambria"/>
        </w:rPr>
        <w:t>, radi otvaranja radnog naloga.</w:t>
      </w:r>
    </w:p>
    <w:p w14:paraId="6D2894E0" w14:textId="77777777" w:rsidR="00C66875" w:rsidRPr="00986A91" w:rsidRDefault="00C66875" w:rsidP="00C66875">
      <w:pPr>
        <w:jc w:val="both"/>
        <w:rPr>
          <w:rFonts w:ascii="Cambria" w:hAnsi="Cambria"/>
        </w:rPr>
      </w:pPr>
      <w:r w:rsidRPr="394AC59B">
        <w:rPr>
          <w:rFonts w:ascii="Cambria" w:hAnsi="Cambria"/>
        </w:rPr>
        <w:t xml:space="preserve">Ukoliko je kvar prijavljen van radnog vremena , dežurni radnik je dužan odmah po prijemu obavijesti o kvaru telefonski obavijestiti </w:t>
      </w:r>
      <w:r>
        <w:rPr>
          <w:rFonts w:ascii="Cambria" w:hAnsi="Cambria"/>
        </w:rPr>
        <w:t>r</w:t>
      </w:r>
      <w:r w:rsidRPr="394AC59B">
        <w:rPr>
          <w:rFonts w:ascii="Cambria" w:hAnsi="Cambria"/>
        </w:rPr>
        <w:t xml:space="preserve">ukovoditelja </w:t>
      </w:r>
      <w:r>
        <w:rPr>
          <w:rFonts w:ascii="Cambria" w:hAnsi="Cambria"/>
        </w:rPr>
        <w:t>tehničkog sektora</w:t>
      </w:r>
      <w:r w:rsidRPr="394AC59B">
        <w:rPr>
          <w:rFonts w:ascii="Cambria" w:hAnsi="Cambria"/>
        </w:rPr>
        <w:t xml:space="preserve">, te mu pružiti detaljan opis kvara. Rukovoditelj </w:t>
      </w:r>
      <w:r>
        <w:rPr>
          <w:rFonts w:ascii="Cambria" w:hAnsi="Cambria"/>
        </w:rPr>
        <w:t>tehničkog sektroa</w:t>
      </w:r>
      <w:r w:rsidRPr="394AC59B">
        <w:rPr>
          <w:rFonts w:ascii="Cambria" w:hAnsi="Cambria"/>
        </w:rPr>
        <w:t xml:space="preserve"> procjenjuje prioritet kvara i hitnost popravke. Ukoliko se radi o hitnoj popravci, rukovoditelj </w:t>
      </w:r>
      <w:r>
        <w:rPr>
          <w:rFonts w:ascii="Cambria" w:hAnsi="Cambria"/>
        </w:rPr>
        <w:t>tehničkog sektora</w:t>
      </w:r>
      <w:r w:rsidRPr="394AC59B">
        <w:rPr>
          <w:rFonts w:ascii="Cambria" w:hAnsi="Cambria"/>
        </w:rPr>
        <w:t xml:space="preserve"> angažira dežurni tim da izvrši popravku, bez radnog naloga. Radni nalog se otvara prvog narednog radnog dana. Ukoliko se radi o kvarovima većeg intenziteta i obima za koje je potrebno angažirati dodatno ljudstvo (zaposlenike) i mehanizaciju u hitnom roku, potrebno je konsultirati upravu preduzeća (direktora) .</w:t>
      </w:r>
    </w:p>
    <w:p w14:paraId="48E437FB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</w:p>
    <w:p w14:paraId="76447385" w14:textId="77777777" w:rsidR="00C66875" w:rsidRPr="00986A91" w:rsidRDefault="00C66875" w:rsidP="00C66875">
      <w:pPr>
        <w:pStyle w:val="ListParagraph"/>
        <w:numPr>
          <w:ilvl w:val="2"/>
          <w:numId w:val="15"/>
        </w:numPr>
        <w:spacing w:after="0" w:line="240" w:lineRule="auto"/>
        <w:ind w:left="567" w:hanging="567"/>
        <w:contextualSpacing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 xml:space="preserve">Prijava kvara od strane zaposlenika </w:t>
      </w:r>
    </w:p>
    <w:p w14:paraId="3B109F44" w14:textId="77777777" w:rsidR="00C66875" w:rsidRPr="00986A91" w:rsidRDefault="00C66875" w:rsidP="00C66875">
      <w:pPr>
        <w:jc w:val="both"/>
        <w:rPr>
          <w:rFonts w:ascii="Cambria" w:hAnsi="Cambria"/>
        </w:rPr>
      </w:pPr>
      <w:r w:rsidRPr="394AC59B">
        <w:rPr>
          <w:rFonts w:ascii="Cambria" w:hAnsi="Cambria"/>
        </w:rPr>
        <w:t xml:space="preserve">Ukoliko je kvar otkriven od strane zaposlenika preduzeća prilikom obavljanja poslova i aktivnosti , zaposlenik je u obavezi da evidentira kvar putem propisanog obrasca. Prijava kvara se šalje u </w:t>
      </w:r>
      <w:r>
        <w:rPr>
          <w:rFonts w:ascii="Cambria" w:hAnsi="Cambria"/>
        </w:rPr>
        <w:t>Tehnički sektor u Službu vodovod i kanalizacije</w:t>
      </w:r>
      <w:r w:rsidRPr="394AC59B">
        <w:rPr>
          <w:rFonts w:ascii="Cambria" w:hAnsi="Cambria"/>
        </w:rPr>
        <w:t>, radi otvaranja radnog naloga.</w:t>
      </w:r>
    </w:p>
    <w:p w14:paraId="07BAC78D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>U slučaju da je kvar</w:t>
      </w:r>
      <w:r>
        <w:rPr>
          <w:rFonts w:ascii="Cambria" w:hAnsi="Cambria" w:cstheme="minorHAnsi"/>
        </w:rPr>
        <w:t xml:space="preserve"> otkriven van radnog vremena preduzeća</w:t>
      </w:r>
      <w:r w:rsidRPr="00986A91">
        <w:rPr>
          <w:rFonts w:ascii="Cambria" w:hAnsi="Cambria" w:cstheme="minorHAnsi"/>
        </w:rPr>
        <w:t xml:space="preserve">, a u toku radnog vremena zaposlenika koji prijavljuje kvar, zaposlenik kvar prijavljuje rukovoditelju </w:t>
      </w:r>
      <w:r>
        <w:rPr>
          <w:rFonts w:ascii="Cambria" w:hAnsi="Cambria" w:cstheme="minorHAnsi"/>
        </w:rPr>
        <w:t>tehničkog sektora</w:t>
      </w:r>
      <w:r w:rsidRPr="00986A91">
        <w:rPr>
          <w:rFonts w:ascii="Cambria" w:hAnsi="Cambria" w:cstheme="minorHAnsi"/>
        </w:rPr>
        <w:t>, i daje mu detaljan opis kvara. Daljnja procedura je istovjetna gore opisanoj proceduri.</w:t>
      </w:r>
    </w:p>
    <w:p w14:paraId="23862984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</w:p>
    <w:p w14:paraId="6CF376C1" w14:textId="77777777" w:rsidR="00C66875" w:rsidRPr="00986A91" w:rsidRDefault="00C66875" w:rsidP="00C66875">
      <w:pPr>
        <w:pStyle w:val="ListParagraph"/>
        <w:numPr>
          <w:ilvl w:val="1"/>
          <w:numId w:val="15"/>
        </w:numPr>
        <w:spacing w:after="0" w:line="240" w:lineRule="auto"/>
        <w:ind w:left="567" w:hanging="567"/>
        <w:contextualSpacing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>Priključenje na mrežu</w:t>
      </w:r>
    </w:p>
    <w:p w14:paraId="531FC718" w14:textId="77777777" w:rsidR="00C66875" w:rsidRPr="00986A91" w:rsidRDefault="00C66875" w:rsidP="00C66875">
      <w:pPr>
        <w:jc w:val="both"/>
        <w:rPr>
          <w:rFonts w:ascii="Cambria" w:hAnsi="Cambria"/>
        </w:rPr>
      </w:pPr>
      <w:r w:rsidRPr="394AC59B">
        <w:rPr>
          <w:rFonts w:ascii="Cambria" w:hAnsi="Cambria"/>
        </w:rPr>
        <w:t xml:space="preserve">Nakon podnošenja zahtjeva za priključenje na vodovodnu ili kanalizacionu mrežu, </w:t>
      </w:r>
      <w:r>
        <w:rPr>
          <w:rFonts w:ascii="Cambria" w:hAnsi="Cambria"/>
        </w:rPr>
        <w:t>služba vodovoda i kanalizacije</w:t>
      </w:r>
      <w:r w:rsidRPr="394AC59B">
        <w:rPr>
          <w:rFonts w:ascii="Cambria" w:hAnsi="Cambria"/>
        </w:rPr>
        <w:t xml:space="preserve"> utvrđuje tehničke mogućnosti priključenja na mrežu i donosi odluku o priključenju, definira i predračun troškova priključenja. Po uplati po predračunu, otvara se radni nalog za priključenje na vodovodnu ili kanalizacionu mrežu.</w:t>
      </w:r>
    </w:p>
    <w:p w14:paraId="0525BCAA" w14:textId="77777777" w:rsidR="00C66875" w:rsidRPr="00986A91" w:rsidRDefault="00C66875" w:rsidP="00C66875">
      <w:pPr>
        <w:pStyle w:val="ListParagraph"/>
        <w:numPr>
          <w:ilvl w:val="1"/>
          <w:numId w:val="13"/>
        </w:numPr>
        <w:spacing w:line="240" w:lineRule="auto"/>
        <w:ind w:left="567" w:hanging="567"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>Realizacija radnog naloga</w:t>
      </w:r>
    </w:p>
    <w:p w14:paraId="13C36A2D" w14:textId="77777777" w:rsidR="00C66875" w:rsidRPr="00986A91" w:rsidRDefault="00C66875" w:rsidP="00C66875">
      <w:pPr>
        <w:pStyle w:val="ListParagraph"/>
        <w:numPr>
          <w:ilvl w:val="1"/>
          <w:numId w:val="16"/>
        </w:numPr>
        <w:spacing w:after="0" w:line="240" w:lineRule="auto"/>
        <w:ind w:left="567" w:hanging="567"/>
        <w:contextualSpacing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>Zaduženje materijala</w:t>
      </w:r>
    </w:p>
    <w:p w14:paraId="4ACCFE76" w14:textId="77777777" w:rsidR="00C66875" w:rsidRPr="00986A91" w:rsidRDefault="00C66875" w:rsidP="00C66875">
      <w:pPr>
        <w:jc w:val="both"/>
        <w:rPr>
          <w:rFonts w:ascii="Cambria" w:hAnsi="Cambria"/>
        </w:rPr>
      </w:pPr>
      <w:r w:rsidRPr="394AC59B">
        <w:rPr>
          <w:rFonts w:ascii="Cambria" w:hAnsi="Cambria"/>
        </w:rPr>
        <w:t xml:space="preserve">Po otvaranju radnog naloga, </w:t>
      </w:r>
      <w:r>
        <w:rPr>
          <w:rFonts w:ascii="Cambria" w:hAnsi="Cambria"/>
        </w:rPr>
        <w:t>rukovodioc tehničkog sektora</w:t>
      </w:r>
      <w:r w:rsidRPr="394AC59B">
        <w:rPr>
          <w:rFonts w:ascii="Cambria" w:hAnsi="Cambria"/>
        </w:rPr>
        <w:t xml:space="preserve"> zadužuje</w:t>
      </w:r>
      <w:r>
        <w:rPr>
          <w:rFonts w:ascii="Cambria" w:hAnsi="Cambria"/>
        </w:rPr>
        <w:t xml:space="preserve"> poslovođu </w:t>
      </w:r>
      <w:r w:rsidRPr="394AC59B">
        <w:rPr>
          <w:rFonts w:ascii="Cambria" w:hAnsi="Cambria"/>
        </w:rPr>
        <w:t>za realizaciju aktivnosti / radnog naloga. Poslovođa u nadležnoj organizacionoj jedinici, zadužuje (trebuje) materijal potreban za realizaciju aktivnosti / radnog naloga. Materijal preuzima radnik (pojedinac ili grupa) koji je zadužio nalog.</w:t>
      </w:r>
    </w:p>
    <w:p w14:paraId="354AE4F6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</w:p>
    <w:p w14:paraId="153E8105" w14:textId="77777777" w:rsidR="00C66875" w:rsidRPr="00986A91" w:rsidRDefault="00C66875" w:rsidP="00C66875">
      <w:pPr>
        <w:pStyle w:val="ListParagraph"/>
        <w:numPr>
          <w:ilvl w:val="1"/>
          <w:numId w:val="16"/>
        </w:numPr>
        <w:spacing w:after="0" w:line="240" w:lineRule="auto"/>
        <w:ind w:left="567" w:hanging="567"/>
        <w:contextualSpacing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>Zaduženje mehanizacije i ostalih sredstava</w:t>
      </w:r>
    </w:p>
    <w:p w14:paraId="19E85384" w14:textId="77777777" w:rsidR="00C66875" w:rsidRDefault="00C66875" w:rsidP="00C66875">
      <w:pPr>
        <w:jc w:val="both"/>
        <w:rPr>
          <w:rFonts w:ascii="Cambria" w:hAnsi="Cambria"/>
        </w:rPr>
      </w:pPr>
      <w:r w:rsidRPr="394AC59B">
        <w:rPr>
          <w:rFonts w:ascii="Cambria" w:hAnsi="Cambria"/>
        </w:rPr>
        <w:t xml:space="preserve">Rukovoditelj </w:t>
      </w:r>
      <w:r>
        <w:rPr>
          <w:rFonts w:ascii="Cambria" w:hAnsi="Cambria"/>
        </w:rPr>
        <w:t>tehničkog sektora</w:t>
      </w:r>
      <w:r w:rsidRPr="394AC59B">
        <w:rPr>
          <w:rFonts w:ascii="Cambria" w:hAnsi="Cambria"/>
        </w:rPr>
        <w:t xml:space="preserve">, u ovisnosti od intenziteta i obima posla, zadužuje mehanizaciju i ostala sredstva (vozilo, alati, i sl.) potrebne za realizaciju aktivnosti / radnog naloga. </w:t>
      </w:r>
      <w:r w:rsidRPr="394AC59B">
        <w:rPr>
          <w:rFonts w:ascii="Cambria" w:hAnsi="Cambria"/>
        </w:rPr>
        <w:br w:type="page"/>
      </w:r>
    </w:p>
    <w:p w14:paraId="00D8B95C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</w:p>
    <w:p w14:paraId="154BC010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</w:p>
    <w:p w14:paraId="1613DDCA" w14:textId="77777777" w:rsidR="00C66875" w:rsidRPr="00986A91" w:rsidRDefault="00C66875" w:rsidP="00C66875">
      <w:pPr>
        <w:pStyle w:val="ListParagraph"/>
        <w:numPr>
          <w:ilvl w:val="1"/>
          <w:numId w:val="16"/>
        </w:numPr>
        <w:spacing w:after="0" w:line="240" w:lineRule="auto"/>
        <w:ind w:left="567" w:hanging="567"/>
        <w:contextualSpacing/>
        <w:jc w:val="both"/>
        <w:rPr>
          <w:rFonts w:ascii="Cambria" w:hAnsi="Cambria"/>
          <w:b/>
          <w:bCs/>
          <w:lang w:val="hr-HR"/>
        </w:rPr>
      </w:pPr>
      <w:r w:rsidRPr="394AC59B">
        <w:rPr>
          <w:rFonts w:ascii="Cambria" w:hAnsi="Cambria"/>
          <w:b/>
          <w:bCs/>
          <w:lang w:val="hr-HR"/>
        </w:rPr>
        <w:t>Dokumentacija</w:t>
      </w:r>
    </w:p>
    <w:p w14:paraId="1330414D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>Za potrebe realizacije aktivnosti / radnog naloga, neophodno je pripremiti slijedeću dokumentaciju:</w:t>
      </w:r>
    </w:p>
    <w:p w14:paraId="3D45D790" w14:textId="77777777" w:rsidR="00C66875" w:rsidRPr="00986A91" w:rsidRDefault="00C66875" w:rsidP="00C66875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Cambria" w:hAnsi="Cambria" w:cstheme="minorHAnsi"/>
          <w:lang w:val="hr-HR"/>
        </w:rPr>
      </w:pPr>
      <w:r w:rsidRPr="00986A91">
        <w:rPr>
          <w:rFonts w:ascii="Cambria" w:hAnsi="Cambria" w:cstheme="minorHAnsi"/>
          <w:lang w:val="hr-HR"/>
        </w:rPr>
        <w:t>Otklanjanje kvarova:</w:t>
      </w:r>
    </w:p>
    <w:p w14:paraId="3B6B946E" w14:textId="77777777" w:rsidR="00C66875" w:rsidRPr="00986A91" w:rsidRDefault="00C66875" w:rsidP="00C66875">
      <w:pPr>
        <w:pStyle w:val="ListParagraph"/>
        <w:numPr>
          <w:ilvl w:val="1"/>
          <w:numId w:val="17"/>
        </w:numPr>
        <w:spacing w:after="0" w:line="240" w:lineRule="auto"/>
        <w:ind w:left="1701" w:hanging="425"/>
        <w:jc w:val="both"/>
        <w:rPr>
          <w:rFonts w:ascii="Cambria" w:hAnsi="Cambria" w:cstheme="minorHAnsi"/>
          <w:lang w:val="hr-HR"/>
        </w:rPr>
      </w:pPr>
      <w:r w:rsidRPr="00986A91">
        <w:rPr>
          <w:rFonts w:ascii="Cambria" w:hAnsi="Cambria" w:cstheme="minorHAnsi"/>
          <w:lang w:val="hr-HR"/>
        </w:rPr>
        <w:t>katastar podzemnih instalacija (karte ili podloge sa ucrtanom mrežom i pripadajućim objektima vodovodnog ili kanalizacionog sistema</w:t>
      </w:r>
      <w:r>
        <w:rPr>
          <w:rFonts w:ascii="Cambria" w:hAnsi="Cambria" w:cstheme="minorHAnsi"/>
          <w:lang w:val="hr-HR"/>
        </w:rPr>
        <w:t>, telefonske, internet , elektro i ostale instalacije</w:t>
      </w:r>
      <w:r w:rsidRPr="00986A91">
        <w:rPr>
          <w:rFonts w:ascii="Cambria" w:hAnsi="Cambria" w:cstheme="minorHAnsi"/>
          <w:lang w:val="hr-HR"/>
        </w:rPr>
        <w:t>),</w:t>
      </w:r>
    </w:p>
    <w:p w14:paraId="292A0B57" w14:textId="77777777" w:rsidR="00C66875" w:rsidRPr="00986A91" w:rsidRDefault="00C66875" w:rsidP="00C66875">
      <w:pPr>
        <w:pStyle w:val="ListParagraph"/>
        <w:numPr>
          <w:ilvl w:val="1"/>
          <w:numId w:val="17"/>
        </w:numPr>
        <w:spacing w:after="0" w:line="240" w:lineRule="auto"/>
        <w:ind w:left="1701" w:hanging="425"/>
        <w:jc w:val="both"/>
        <w:rPr>
          <w:rFonts w:ascii="Cambria" w:hAnsi="Cambria" w:cstheme="minorHAnsi"/>
          <w:lang w:val="hr-HR"/>
        </w:rPr>
      </w:pPr>
      <w:r w:rsidRPr="00986A91">
        <w:rPr>
          <w:rFonts w:ascii="Cambria" w:hAnsi="Cambria" w:cstheme="minorHAnsi"/>
          <w:lang w:val="hr-HR"/>
        </w:rPr>
        <w:t>obavijest upravitelju / održavatelju saobraćajnice (</w:t>
      </w:r>
      <w:r>
        <w:rPr>
          <w:rFonts w:ascii="Cambria" w:hAnsi="Cambria" w:cstheme="minorHAnsi"/>
          <w:lang w:val="hr-HR"/>
        </w:rPr>
        <w:t>nadležna služba za saobraćajnice</w:t>
      </w:r>
      <w:r w:rsidRPr="00986A91">
        <w:rPr>
          <w:rFonts w:ascii="Cambria" w:hAnsi="Cambria" w:cstheme="minorHAnsi"/>
          <w:lang w:val="hr-HR"/>
        </w:rPr>
        <w:t xml:space="preserve"> općinskog ranga i niže, odnosno direkcija za ceste za saobraćajnice višeg nivoa).</w:t>
      </w:r>
    </w:p>
    <w:p w14:paraId="4D01D81B" w14:textId="77777777" w:rsidR="00C66875" w:rsidRPr="00986A91" w:rsidRDefault="00C66875" w:rsidP="00C66875">
      <w:pPr>
        <w:pStyle w:val="ListParagraph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Cambria" w:hAnsi="Cambria" w:cstheme="minorHAnsi"/>
          <w:lang w:val="hr-HR"/>
        </w:rPr>
      </w:pPr>
      <w:r w:rsidRPr="00986A91">
        <w:rPr>
          <w:rFonts w:ascii="Cambria" w:hAnsi="Cambria" w:cstheme="minorHAnsi"/>
          <w:lang w:val="hr-HR"/>
        </w:rPr>
        <w:t>Redovno održavanje mreže:</w:t>
      </w:r>
    </w:p>
    <w:p w14:paraId="5ACC52EE" w14:textId="77777777" w:rsidR="00C66875" w:rsidRPr="00986A91" w:rsidRDefault="00C66875" w:rsidP="00C66875">
      <w:pPr>
        <w:pStyle w:val="ListParagraph"/>
        <w:numPr>
          <w:ilvl w:val="1"/>
          <w:numId w:val="17"/>
        </w:numPr>
        <w:spacing w:after="0" w:line="240" w:lineRule="auto"/>
        <w:ind w:left="1701" w:hanging="425"/>
        <w:jc w:val="both"/>
        <w:rPr>
          <w:rFonts w:ascii="Cambria" w:hAnsi="Cambria" w:cstheme="minorHAnsi"/>
          <w:lang w:val="hr-HR"/>
        </w:rPr>
      </w:pPr>
      <w:r w:rsidRPr="00986A91">
        <w:rPr>
          <w:rFonts w:ascii="Cambria" w:hAnsi="Cambria" w:cstheme="minorHAnsi"/>
          <w:lang w:val="hr-HR"/>
        </w:rPr>
        <w:t>katastar podzemnih instalacija (karte ili podloge sa ucrtanom mrežom i pripadajućim objektima vodovodnog ili kanalizacionog sistema</w:t>
      </w:r>
      <w:r>
        <w:rPr>
          <w:rFonts w:ascii="Cambria" w:hAnsi="Cambria" w:cstheme="minorHAnsi"/>
          <w:lang w:val="hr-HR"/>
        </w:rPr>
        <w:t>, telefonske, internet , elektro i ostale instalacije</w:t>
      </w:r>
      <w:r w:rsidRPr="00986A91" w:rsidDel="00D37DB2">
        <w:rPr>
          <w:rFonts w:ascii="Cambria" w:hAnsi="Cambria" w:cstheme="minorHAnsi"/>
          <w:lang w:val="hr-HR"/>
        </w:rPr>
        <w:t xml:space="preserve"> </w:t>
      </w:r>
      <w:r w:rsidRPr="00986A91">
        <w:rPr>
          <w:rFonts w:ascii="Cambria" w:hAnsi="Cambria" w:cstheme="minorHAnsi"/>
          <w:lang w:val="hr-HR"/>
        </w:rPr>
        <w:t>),</w:t>
      </w:r>
    </w:p>
    <w:p w14:paraId="6B966D78" w14:textId="77777777" w:rsidR="00C66875" w:rsidRPr="00986A91" w:rsidRDefault="00C66875" w:rsidP="00C66875">
      <w:pPr>
        <w:pStyle w:val="ListParagraph"/>
        <w:numPr>
          <w:ilvl w:val="1"/>
          <w:numId w:val="13"/>
        </w:numPr>
        <w:spacing w:line="240" w:lineRule="auto"/>
        <w:ind w:left="567" w:hanging="567"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>Zaključenje radnog naloga</w:t>
      </w:r>
    </w:p>
    <w:p w14:paraId="04F27BD9" w14:textId="77777777" w:rsidR="00C66875" w:rsidRDefault="00C66875" w:rsidP="00C66875">
      <w:pPr>
        <w:jc w:val="both"/>
        <w:rPr>
          <w:rFonts w:ascii="Cambria" w:hAnsi="Cambria"/>
        </w:rPr>
      </w:pPr>
      <w:r w:rsidRPr="394AC59B">
        <w:rPr>
          <w:rFonts w:ascii="Cambria" w:hAnsi="Cambria"/>
        </w:rPr>
        <w:t>Nakon što osigura potrebne materijale, dokumentaciju i mehanizaciju i ostala sredstva (po potrebi), radnik (pojedinac ili grupa) koji je zadužio radni nalog pristupa realizaciji aktivnosti / poslova opisanih radnim nalogom. Nakon završetka poslova / aktivnosti, radnik zaključuje radni nalog. Radnik vrši povrat neutrošenog materijala u skladište, o čemu se izdaje odgovarajući dokument (potvrda).</w:t>
      </w:r>
    </w:p>
    <w:p w14:paraId="7D551EDD" w14:textId="77777777" w:rsidR="00C66875" w:rsidRPr="00986A91" w:rsidRDefault="00C66875" w:rsidP="00C66875">
      <w:pPr>
        <w:jc w:val="both"/>
        <w:rPr>
          <w:rFonts w:ascii="Cambria" w:hAnsi="Cambria"/>
        </w:rPr>
      </w:pPr>
    </w:p>
    <w:p w14:paraId="6585F2FF" w14:textId="77777777" w:rsidR="00C66875" w:rsidRPr="00986A91" w:rsidRDefault="00C66875" w:rsidP="00C66875">
      <w:pPr>
        <w:pStyle w:val="ListParagraph"/>
        <w:numPr>
          <w:ilvl w:val="1"/>
          <w:numId w:val="13"/>
        </w:numPr>
        <w:spacing w:line="240" w:lineRule="auto"/>
        <w:ind w:left="567" w:hanging="567"/>
        <w:jc w:val="both"/>
        <w:rPr>
          <w:rFonts w:ascii="Cambria" w:hAnsi="Cambria" w:cstheme="minorHAnsi"/>
          <w:b/>
          <w:lang w:val="hr-HR"/>
        </w:rPr>
      </w:pPr>
      <w:r w:rsidRPr="00986A91">
        <w:rPr>
          <w:rFonts w:ascii="Cambria" w:hAnsi="Cambria" w:cstheme="minorHAnsi"/>
          <w:b/>
          <w:lang w:val="hr-HR"/>
        </w:rPr>
        <w:t>Obrada i završetak radnog naloga</w:t>
      </w:r>
    </w:p>
    <w:p w14:paraId="5EC7FF32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 xml:space="preserve">Nadzor nad realizacijom radnog naloga vrši poslovođa organizacione jedinice </w:t>
      </w:r>
      <w:r>
        <w:rPr>
          <w:rFonts w:ascii="Cambria" w:hAnsi="Cambria" w:cstheme="minorHAnsi"/>
        </w:rPr>
        <w:t>preduzeća</w:t>
      </w:r>
      <w:r w:rsidRPr="00986A91">
        <w:rPr>
          <w:rFonts w:ascii="Cambria" w:hAnsi="Cambria" w:cstheme="minorHAnsi"/>
        </w:rPr>
        <w:t xml:space="preserve"> zadužene za održavanje vodovodne i kanalizacione mreže. Poslovođa je dužan izvršiti kontrolu radnog naloga i potpisati ga. Nakon izvršene kontrole isti dostavlja višem organu upravljanja (rukovodiocu) organizacione jedinice nadležne za održavanje vodovodne i kanalizacione mreže. Rukovodilac kontrolira i verificira radni nalog. U slučaju potrebe vraća radni nalog poslovođi na korekcije.</w:t>
      </w:r>
    </w:p>
    <w:p w14:paraId="399603D8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  <w:r w:rsidRPr="00986A91">
        <w:rPr>
          <w:rFonts w:ascii="Cambria" w:hAnsi="Cambria" w:cstheme="minorHAnsi"/>
        </w:rPr>
        <w:t>Radni nalog se nakon provedene kontrole dostavlja jedinici za financije za potrebe plaćanja i nakon toga se vrši arhiviranje u nadležnoj organizacionoj jedinici.</w:t>
      </w:r>
    </w:p>
    <w:p w14:paraId="4B1E57C6" w14:textId="77777777" w:rsidR="00C66875" w:rsidRPr="00986A91" w:rsidRDefault="00C66875" w:rsidP="00C66875">
      <w:pPr>
        <w:jc w:val="both"/>
        <w:rPr>
          <w:rFonts w:ascii="Cambria" w:hAnsi="Cambria"/>
        </w:rPr>
      </w:pPr>
      <w:r w:rsidRPr="394AC59B">
        <w:rPr>
          <w:rFonts w:ascii="Cambria" w:hAnsi="Cambria"/>
        </w:rPr>
        <w:t>U slučaju zahtjeva za priključenje na vodovodnu / kanalizacionu mrežu, obrada radnog naloga podrazumijeva i obračun materijala utrošenog za realizaciju radnog naloga, radne snage i mehanizacije. Na osnovu tih podataka organizaciona jedinica za financije preduzeća izrađuje račun za realizirani posao. Ukoliko je račun u iznosu manji od iznosa predračuna, razlika uplaćena po predračunu će se voditi kao pretplata korisnika usluge. Ukoliko se pak radi o većem iznosu na računu od iznosa predračuna, razlika će se fakturirati korisniku usluge na plaćanje.</w:t>
      </w:r>
    </w:p>
    <w:p w14:paraId="661A2CC1" w14:textId="77777777" w:rsidR="00C66875" w:rsidRPr="00986A91" w:rsidRDefault="00C66875" w:rsidP="00C66875">
      <w:pPr>
        <w:jc w:val="both"/>
        <w:rPr>
          <w:rFonts w:ascii="Cambria" w:hAnsi="Cambria" w:cstheme="minorHAnsi"/>
        </w:rPr>
      </w:pPr>
    </w:p>
    <w:p w14:paraId="1533E28D" w14:textId="77777777" w:rsidR="00C66875" w:rsidRPr="00986A91" w:rsidRDefault="00C66875" w:rsidP="00C66875">
      <w:pPr>
        <w:spacing w:after="200" w:line="276" w:lineRule="auto"/>
        <w:rPr>
          <w:rFonts w:ascii="Cambria" w:hAnsi="Cambria" w:cstheme="minorHAnsi"/>
        </w:rPr>
      </w:pPr>
    </w:p>
    <w:p w14:paraId="64B63447" w14:textId="2D6C71D7" w:rsidR="00E616BF" w:rsidRPr="00557701" w:rsidRDefault="00E616BF" w:rsidP="00557701"/>
    <w:sectPr w:rsidR="00E616BF" w:rsidRPr="00557701" w:rsidSect="003B14B9">
      <w:headerReference w:type="default" r:id="rId8"/>
      <w:footerReference w:type="default" r:id="rId9"/>
      <w:pgSz w:w="12240" w:h="15840"/>
      <w:pgMar w:top="2233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AF9B" w14:textId="77777777" w:rsidR="00B1143A" w:rsidRDefault="00B1143A" w:rsidP="00980F4F">
      <w:r>
        <w:separator/>
      </w:r>
    </w:p>
  </w:endnote>
  <w:endnote w:type="continuationSeparator" w:id="0">
    <w:p w14:paraId="27B2E803" w14:textId="77777777" w:rsidR="00B1143A" w:rsidRDefault="00B1143A" w:rsidP="0098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72"/>
      <w:gridCol w:w="334"/>
    </w:tblGrid>
    <w:tr w:rsidR="00E11030" w14:paraId="39011C60" w14:textId="77777777" w:rsidTr="00E11030">
      <w:trPr>
        <w:trHeight w:hRule="exact" w:val="115"/>
        <w:jc w:val="center"/>
      </w:trPr>
      <w:tc>
        <w:tcPr>
          <w:tcW w:w="9072" w:type="dxa"/>
          <w:shd w:val="clear" w:color="auto" w:fill="5B9BD5" w:themeFill="accent1"/>
          <w:tcMar>
            <w:top w:w="0" w:type="dxa"/>
            <w:bottom w:w="0" w:type="dxa"/>
          </w:tcMar>
        </w:tcPr>
        <w:p w14:paraId="3E04906A" w14:textId="77777777" w:rsidR="00E11030" w:rsidRPr="00E11030" w:rsidRDefault="00E11030">
          <w:pPr>
            <w:pStyle w:val="Header"/>
            <w:tabs>
              <w:tab w:val="clear" w:pos="4703"/>
            </w:tabs>
            <w:rPr>
              <w:caps/>
              <w:color w:val="FFFFFF" w:themeColor="background1"/>
              <w:sz w:val="18"/>
              <w14:textFill>
                <w14:noFill/>
              </w14:textFill>
            </w:rPr>
          </w:pPr>
        </w:p>
      </w:tc>
      <w:tc>
        <w:tcPr>
          <w:tcW w:w="334" w:type="dxa"/>
          <w:shd w:val="clear" w:color="auto" w:fill="5B9BD5" w:themeFill="accent1"/>
          <w:tcMar>
            <w:top w:w="0" w:type="dxa"/>
            <w:bottom w:w="0" w:type="dxa"/>
          </w:tcMar>
        </w:tcPr>
        <w:p w14:paraId="502510C4" w14:textId="77777777" w:rsidR="00E11030" w:rsidRDefault="00E11030">
          <w:pPr>
            <w:pStyle w:val="Header"/>
            <w:tabs>
              <w:tab w:val="clear" w:pos="4703"/>
            </w:tabs>
            <w:jc w:val="right"/>
            <w:rPr>
              <w:caps/>
              <w:sz w:val="18"/>
            </w:rPr>
          </w:pPr>
        </w:p>
      </w:tc>
    </w:tr>
    <w:tr w:rsidR="00E11030" w14:paraId="0D3CD535" w14:textId="77777777" w:rsidTr="00E11030">
      <w:trPr>
        <w:jc w:val="center"/>
      </w:trPr>
      <w:sdt>
        <w:sdtPr>
          <w:rPr>
            <w:rFonts w:ascii="Cambria" w:eastAsia="Times New Roman" w:hAnsi="Cambria" w:cs="Cambria"/>
            <w:color w:val="0070C0"/>
            <w:kern w:val="2"/>
            <w:sz w:val="20"/>
            <w:szCs w:val="20"/>
            <w:lang w:val="pl-PL" w:eastAsia="ar-SA"/>
          </w:rPr>
          <w:alias w:val="Author"/>
          <w:tag w:val=""/>
          <w:id w:val="1534151868"/>
          <w:placeholder>
            <w:docPart w:val="8402FC9BC89E4E27A84305C651AD295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9072" w:type="dxa"/>
              <w:vAlign w:val="center"/>
            </w:tcPr>
            <w:p w14:paraId="7AAA5B4C" w14:textId="77777777" w:rsidR="00E11030" w:rsidRDefault="00E11030" w:rsidP="00E11030">
              <w:pPr>
                <w:pStyle w:val="Footer"/>
                <w:tabs>
                  <w:tab w:val="clear" w:pos="4703"/>
                </w:tabs>
                <w:jc w:val="both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E11030">
                <w:rPr>
                  <w:rFonts w:ascii="Cambria" w:eastAsia="Times New Roman" w:hAnsi="Cambria" w:cs="Cambria"/>
                  <w:color w:val="0070C0"/>
                  <w:kern w:val="2"/>
                  <w:sz w:val="20"/>
                  <w:szCs w:val="20"/>
                  <w:lang w:val="pl-PL" w:eastAsia="ar-SA"/>
                </w:rPr>
                <w:t xml:space="preserve">Ul. Industrijska zona bb. 75260 Kalesija, Telefon:  ++ 387 35 630 488, ID broj: 4209001720008, Transakcijski račun br. 338-650-2200050636 kod UniCredit Bank dd Mostar i br.1321400311461362 kod NLB banke d.d., filijala Kalesija </w:t>
              </w:r>
              <w:r w:rsidRPr="00E11030">
                <w:rPr>
                  <w:rFonts w:ascii="Cambria" w:eastAsia="Times New Roman" w:hAnsi="Cambria" w:cs="Cambria"/>
                  <w:color w:val="0070C0"/>
                  <w:kern w:val="2"/>
                  <w:sz w:val="20"/>
                  <w:szCs w:val="20"/>
                  <w:lang w:val="pl-PL" w:eastAsia="ar-SA"/>
                </w:rPr>
                <w:tab/>
                <w:t xml:space="preserve">           </w:t>
              </w:r>
            </w:p>
          </w:tc>
        </w:sdtContent>
      </w:sdt>
      <w:tc>
        <w:tcPr>
          <w:tcW w:w="334" w:type="dxa"/>
          <w:vAlign w:val="center"/>
        </w:tcPr>
        <w:p w14:paraId="747D7D4C" w14:textId="77777777" w:rsidR="00E11030" w:rsidRDefault="00E11030">
          <w:pPr>
            <w:pStyle w:val="Footer"/>
            <w:tabs>
              <w:tab w:val="clear" w:pos="4703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22D28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1CC0AD2" w14:textId="77777777" w:rsidR="00931498" w:rsidRPr="00931498" w:rsidRDefault="00931498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FA2C" w14:textId="77777777" w:rsidR="00B1143A" w:rsidRDefault="00B1143A" w:rsidP="00980F4F">
      <w:r>
        <w:separator/>
      </w:r>
    </w:p>
  </w:footnote>
  <w:footnote w:type="continuationSeparator" w:id="0">
    <w:p w14:paraId="4A081611" w14:textId="77777777" w:rsidR="00B1143A" w:rsidRDefault="00B1143A" w:rsidP="0098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B25F" w14:textId="77777777" w:rsidR="00980F4F" w:rsidRDefault="00590BA3" w:rsidP="00590BA3">
    <w:pPr>
      <w:pStyle w:val="Header"/>
      <w:ind w:left="-14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0F7DC8" wp14:editId="5A59423D">
          <wp:simplePos x="0" y="0"/>
          <wp:positionH relativeFrom="margin">
            <wp:posOffset>-147320</wp:posOffset>
          </wp:positionH>
          <wp:positionV relativeFrom="paragraph">
            <wp:posOffset>10795</wp:posOffset>
          </wp:positionV>
          <wp:extent cx="1066800" cy="1057275"/>
          <wp:effectExtent l="0" t="0" r="0" b="952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dovo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D4EFD2C" wp14:editId="4A5340C0">
              <wp:simplePos x="0" y="0"/>
              <wp:positionH relativeFrom="margin">
                <wp:posOffset>-166369</wp:posOffset>
              </wp:positionH>
              <wp:positionV relativeFrom="paragraph">
                <wp:posOffset>7620</wp:posOffset>
              </wp:positionV>
              <wp:extent cx="6667500" cy="1066800"/>
              <wp:effectExtent l="38100" t="38100" r="38100" b="381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0" cy="1066800"/>
                      </a:xfrm>
                      <a:prstGeom prst="rect">
                        <a:avLst/>
                      </a:prstGeom>
                      <a:ln w="76200"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E7CF54" w14:textId="77777777" w:rsidR="00980F4F" w:rsidRPr="00B33A4C" w:rsidRDefault="00B33A4C" w:rsidP="00B33A4C">
                          <w:pPr>
                            <w:pStyle w:val="NoSpacing"/>
                            <w:ind w:left="720" w:firstLine="72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90BA3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Javno</w:t>
                          </w:r>
                          <w:proofErr w:type="spellEnd"/>
                          <w:r w:rsidRPr="00590BA3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590BA3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preduze</w:t>
                          </w:r>
                          <w:r w:rsidRPr="00590BA3">
                            <w:rPr>
                              <w:rFonts w:cs="Cambri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ć</w:t>
                          </w:r>
                          <w:r w:rsidRPr="00590BA3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</w:t>
                          </w:r>
                          <w:r w:rsidR="00980F4F" w:rsidRPr="00B33A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_________________________________</w:t>
                          </w:r>
                          <w:r w:rsidRPr="00B33A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____________</w:t>
                          </w:r>
                          <w:r w:rsidR="00590BA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__</w:t>
                          </w:r>
                        </w:p>
                        <w:p w14:paraId="3609B198" w14:textId="77777777" w:rsidR="00980F4F" w:rsidRPr="00590BA3" w:rsidRDefault="00590BA3" w:rsidP="00B33A4C">
                          <w:pPr>
                            <w:pStyle w:val="NoSpacing"/>
                            <w:spacing w:before="120"/>
                            <w:ind w:left="1020" w:firstLine="720"/>
                            <w:rPr>
                              <w:rFonts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52"/>
                              <w:szCs w:val="52"/>
                            </w:rPr>
                            <w:t>VODOVOD I KANALIZACIJA KALESIJA</w:t>
                          </w:r>
                        </w:p>
                        <w:p w14:paraId="2CEED33C" w14:textId="77777777" w:rsidR="00980F4F" w:rsidRPr="00205ACC" w:rsidRDefault="00980F4F" w:rsidP="00205ACC">
                          <w:pPr>
                            <w:pStyle w:val="NoSpacing"/>
                            <w:ind w:left="720" w:firstLine="720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33A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___________________________________</w:t>
                          </w:r>
                          <w:r w:rsidR="00590BA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__________________</w:t>
                          </w:r>
                          <w:r w:rsidRPr="00590BA3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doo </w:t>
                          </w:r>
                          <w:proofErr w:type="spellStart"/>
                          <w:r w:rsidRPr="00590BA3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Kalesija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EFD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3.1pt;margin-top:.6pt;width:525pt;height:8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" fillcolor="#4f7ac7 [3032]" strokecolor="#4472c4 [3208]" strokeweight="6pt">
              <v:fill color2="#416fc3 [3176]" rotate="t" colors="0 #6083cb;.5 #3e70ca;1 #2e61ba" focus="100%" type="gradient">
                <o:fill v:ext="view" type="gradientUnscaled"/>
              </v:fill>
              <v:textbox>
                <w:txbxContent>
                  <w:p w14:paraId="76E7CF54" w14:textId="77777777" w:rsidR="00980F4F" w:rsidRPr="00B33A4C" w:rsidRDefault="00B33A4C" w:rsidP="00B33A4C">
                    <w:pPr>
                      <w:pStyle w:val="NoSpacing"/>
                      <w:ind w:left="720" w:firstLine="720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proofErr w:type="spellStart"/>
                    <w:r w:rsidRPr="00590BA3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Javno</w:t>
                    </w:r>
                    <w:proofErr w:type="spellEnd"/>
                    <w:r w:rsidRPr="00590BA3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590BA3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preduze</w:t>
                    </w:r>
                    <w:r w:rsidRPr="00590BA3">
                      <w:rPr>
                        <w:rFonts w:cs="Cambria"/>
                        <w:b/>
                        <w:color w:val="FFFFFF" w:themeColor="background1"/>
                        <w:sz w:val="28"/>
                        <w:szCs w:val="28"/>
                      </w:rPr>
                      <w:t>ć</w:t>
                    </w:r>
                    <w:r w:rsidRPr="00590BA3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e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</w:t>
                    </w:r>
                    <w:r w:rsidR="00980F4F" w:rsidRPr="00B33A4C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_________________________________</w:t>
                    </w:r>
                    <w:r w:rsidRPr="00B33A4C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____________</w:t>
                    </w:r>
                    <w:r w:rsidR="00590BA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__</w:t>
                    </w:r>
                  </w:p>
                  <w:p w14:paraId="3609B198" w14:textId="77777777" w:rsidR="00980F4F" w:rsidRPr="00590BA3" w:rsidRDefault="00590BA3" w:rsidP="00B33A4C">
                    <w:pPr>
                      <w:pStyle w:val="NoSpacing"/>
                      <w:spacing w:before="120"/>
                      <w:ind w:left="1020" w:firstLine="720"/>
                      <w:rPr>
                        <w:rFonts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52"/>
                        <w:szCs w:val="52"/>
                      </w:rPr>
                      <w:t>VODOVOD I KANALIZACIJA KALESIJA</w:t>
                    </w:r>
                  </w:p>
                  <w:p w14:paraId="2CEED33C" w14:textId="77777777" w:rsidR="00980F4F" w:rsidRPr="00205ACC" w:rsidRDefault="00980F4F" w:rsidP="00205ACC">
                    <w:pPr>
                      <w:pStyle w:val="NoSpacing"/>
                      <w:ind w:left="720" w:firstLine="720"/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B33A4C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___________________________________</w:t>
                    </w:r>
                    <w:r w:rsidR="00590BA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__________________</w:t>
                    </w:r>
                    <w:r w:rsidRPr="00590BA3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doo </w:t>
                    </w:r>
                    <w:proofErr w:type="spellStart"/>
                    <w:r w:rsidRPr="00590BA3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>Kalesija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  <w:p w14:paraId="413AA993" w14:textId="77777777" w:rsidR="00980F4F" w:rsidRDefault="00980F4F">
    <w:pPr>
      <w:pStyle w:val="Header"/>
    </w:pPr>
  </w:p>
  <w:p w14:paraId="028835B0" w14:textId="77777777" w:rsidR="00205ACC" w:rsidRDefault="00205ACC">
    <w:pPr>
      <w:pStyle w:val="Header"/>
    </w:pPr>
  </w:p>
  <w:p w14:paraId="3E8046C7" w14:textId="77777777" w:rsidR="00205ACC" w:rsidRDefault="00205ACC" w:rsidP="00CA37B2">
    <w:pPr>
      <w:pStyle w:val="Header"/>
    </w:pPr>
  </w:p>
  <w:p w14:paraId="5A280FB8" w14:textId="77777777" w:rsidR="00205ACC" w:rsidRDefault="00205ACC">
    <w:pPr>
      <w:pStyle w:val="Header"/>
    </w:pPr>
  </w:p>
  <w:p w14:paraId="4DEFE501" w14:textId="77777777" w:rsidR="00205ACC" w:rsidRDefault="00205ACC">
    <w:pPr>
      <w:pStyle w:val="Header"/>
    </w:pPr>
  </w:p>
  <w:p w14:paraId="07312511" w14:textId="77777777" w:rsidR="00205ACC" w:rsidRDefault="00205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748"/>
    <w:multiLevelType w:val="hybridMultilevel"/>
    <w:tmpl w:val="B2563B22"/>
    <w:lvl w:ilvl="0" w:tplc="A1EA2CC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2A07"/>
    <w:multiLevelType w:val="hybridMultilevel"/>
    <w:tmpl w:val="F72C0B24"/>
    <w:lvl w:ilvl="0" w:tplc="5C80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EE1"/>
    <w:multiLevelType w:val="hybridMultilevel"/>
    <w:tmpl w:val="3538EDC8"/>
    <w:lvl w:ilvl="0" w:tplc="5C80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4D1C"/>
    <w:multiLevelType w:val="hybridMultilevel"/>
    <w:tmpl w:val="F742607A"/>
    <w:lvl w:ilvl="0" w:tplc="5C80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0167D5"/>
    <w:multiLevelType w:val="hybridMultilevel"/>
    <w:tmpl w:val="655857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7115"/>
    <w:multiLevelType w:val="hybridMultilevel"/>
    <w:tmpl w:val="17F0D2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94D01"/>
    <w:multiLevelType w:val="multilevel"/>
    <w:tmpl w:val="E166AF2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Heading2"/>
      <w:isLgl/>
      <w:lvlText w:val="%1.%2"/>
      <w:lvlJc w:val="left"/>
      <w:pPr>
        <w:ind w:left="989" w:hanging="7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B11CA4"/>
    <w:multiLevelType w:val="hybridMultilevel"/>
    <w:tmpl w:val="E1307766"/>
    <w:lvl w:ilvl="0" w:tplc="5C80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A1E61"/>
    <w:multiLevelType w:val="hybridMultilevel"/>
    <w:tmpl w:val="48D0E722"/>
    <w:lvl w:ilvl="0" w:tplc="938854A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85D06EA"/>
    <w:multiLevelType w:val="hybridMultilevel"/>
    <w:tmpl w:val="06067D04"/>
    <w:lvl w:ilvl="0" w:tplc="A4AE1264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894"/>
    <w:multiLevelType w:val="multilevel"/>
    <w:tmpl w:val="BBB22D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C33993"/>
    <w:multiLevelType w:val="multilevel"/>
    <w:tmpl w:val="7A78B9A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877C99"/>
    <w:multiLevelType w:val="hybridMultilevel"/>
    <w:tmpl w:val="872AE0FE"/>
    <w:lvl w:ilvl="0" w:tplc="5C80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1200F"/>
    <w:multiLevelType w:val="hybridMultilevel"/>
    <w:tmpl w:val="17021E78"/>
    <w:lvl w:ilvl="0" w:tplc="679AF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E6E2F"/>
    <w:multiLevelType w:val="multilevel"/>
    <w:tmpl w:val="41A01D7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C5344"/>
    <w:multiLevelType w:val="multilevel"/>
    <w:tmpl w:val="5F269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3E1AB2"/>
    <w:multiLevelType w:val="hybridMultilevel"/>
    <w:tmpl w:val="4064992E"/>
    <w:lvl w:ilvl="0" w:tplc="5C80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1631">
    <w:abstractNumId w:val="14"/>
  </w:num>
  <w:num w:numId="2" w16cid:durableId="394862022">
    <w:abstractNumId w:val="6"/>
  </w:num>
  <w:num w:numId="3" w16cid:durableId="938679290">
    <w:abstractNumId w:val="5"/>
  </w:num>
  <w:num w:numId="4" w16cid:durableId="1981572758">
    <w:abstractNumId w:val="2"/>
  </w:num>
  <w:num w:numId="5" w16cid:durableId="1665932389">
    <w:abstractNumId w:val="6"/>
    <w:lvlOverride w:ilvl="0">
      <w:startOverride w:val="1"/>
    </w:lvlOverride>
    <w:lvlOverride w:ilvl="1">
      <w:startOverride w:val="2"/>
    </w:lvlOverride>
  </w:num>
  <w:num w:numId="6" w16cid:durableId="939794860">
    <w:abstractNumId w:val="1"/>
  </w:num>
  <w:num w:numId="7" w16cid:durableId="1814129478">
    <w:abstractNumId w:val="7"/>
  </w:num>
  <w:num w:numId="8" w16cid:durableId="2096052421">
    <w:abstractNumId w:val="12"/>
  </w:num>
  <w:num w:numId="9" w16cid:durableId="1386837875">
    <w:abstractNumId w:val="16"/>
  </w:num>
  <w:num w:numId="10" w16cid:durableId="751009049">
    <w:abstractNumId w:val="3"/>
  </w:num>
  <w:num w:numId="11" w16cid:durableId="1116682655">
    <w:abstractNumId w:val="0"/>
  </w:num>
  <w:num w:numId="12" w16cid:durableId="198393060">
    <w:abstractNumId w:val="4"/>
  </w:num>
  <w:num w:numId="13" w16cid:durableId="746809131">
    <w:abstractNumId w:val="11"/>
  </w:num>
  <w:num w:numId="14" w16cid:durableId="1843275736">
    <w:abstractNumId w:val="9"/>
  </w:num>
  <w:num w:numId="15" w16cid:durableId="1456829845">
    <w:abstractNumId w:val="15"/>
  </w:num>
  <w:num w:numId="16" w16cid:durableId="2139180531">
    <w:abstractNumId w:val="10"/>
  </w:num>
  <w:num w:numId="17" w16cid:durableId="900557897">
    <w:abstractNumId w:val="8"/>
  </w:num>
  <w:num w:numId="18" w16cid:durableId="686252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4F"/>
    <w:rsid w:val="000353C5"/>
    <w:rsid w:val="000524D6"/>
    <w:rsid w:val="000E35F5"/>
    <w:rsid w:val="000F7626"/>
    <w:rsid w:val="001D0BA0"/>
    <w:rsid w:val="00205ACC"/>
    <w:rsid w:val="00206B5D"/>
    <w:rsid w:val="003B14B9"/>
    <w:rsid w:val="00434EA6"/>
    <w:rsid w:val="00463CDC"/>
    <w:rsid w:val="0049033C"/>
    <w:rsid w:val="005145C5"/>
    <w:rsid w:val="00557701"/>
    <w:rsid w:val="00590BA3"/>
    <w:rsid w:val="007A3441"/>
    <w:rsid w:val="00871440"/>
    <w:rsid w:val="00891A08"/>
    <w:rsid w:val="00931498"/>
    <w:rsid w:val="00980F4F"/>
    <w:rsid w:val="00A25C9D"/>
    <w:rsid w:val="00A9557F"/>
    <w:rsid w:val="00B1143A"/>
    <w:rsid w:val="00B33A4C"/>
    <w:rsid w:val="00C66875"/>
    <w:rsid w:val="00CA37B2"/>
    <w:rsid w:val="00CE2F8D"/>
    <w:rsid w:val="00D86AB5"/>
    <w:rsid w:val="00E11030"/>
    <w:rsid w:val="00E22D28"/>
    <w:rsid w:val="00E616BF"/>
    <w:rsid w:val="00EB2E87"/>
    <w:rsid w:val="00EE125D"/>
    <w:rsid w:val="00E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F83D8"/>
  <w15:chartTrackingRefBased/>
  <w15:docId w15:val="{855B71F1-33A3-4223-9A85-CD0F81AD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2D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690"/>
    <w:pPr>
      <w:keepNext/>
      <w:keepLines/>
      <w:widowControl/>
      <w:numPr>
        <w:numId w:val="2"/>
      </w:numPr>
      <w:suppressAutoHyphens w:val="0"/>
      <w:autoSpaceDN/>
      <w:spacing w:before="480"/>
      <w:textAlignment w:val="auto"/>
      <w:outlineLvl w:val="0"/>
    </w:pPr>
    <w:rPr>
      <w:rFonts w:eastAsiaTheme="majorEastAsia" w:cstheme="majorBidi"/>
      <w:b/>
      <w:bCs/>
      <w:color w:val="2E74B5" w:themeColor="accent1" w:themeShade="BF"/>
      <w:kern w:val="0"/>
      <w:szCs w:val="28"/>
      <w:lang w:eastAsia="hr-HR"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7690"/>
    <w:pPr>
      <w:keepNext/>
      <w:keepLines/>
      <w:widowControl/>
      <w:numPr>
        <w:ilvl w:val="1"/>
        <w:numId w:val="2"/>
      </w:numPr>
      <w:suppressAutoHyphens w:val="0"/>
      <w:autoSpaceDN/>
      <w:ind w:left="851" w:hanging="567"/>
      <w:textAlignment w:val="auto"/>
      <w:outlineLvl w:val="1"/>
    </w:pPr>
    <w:rPr>
      <w:rFonts w:asciiTheme="minorHAnsi" w:eastAsiaTheme="majorEastAsia" w:hAnsiTheme="minorHAnsi" w:cstheme="minorHAnsi"/>
      <w:b/>
      <w:bCs/>
      <w:kern w:val="0"/>
      <w:szCs w:val="26"/>
      <w:lang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0F4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980F4F"/>
  </w:style>
  <w:style w:type="paragraph" w:styleId="Footer">
    <w:name w:val="footer"/>
    <w:basedOn w:val="Normal"/>
    <w:link w:val="FooterChar"/>
    <w:uiPriority w:val="99"/>
    <w:unhideWhenUsed/>
    <w:rsid w:val="00980F4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F4F"/>
  </w:style>
  <w:style w:type="paragraph" w:styleId="NoSpacing">
    <w:name w:val="No Spacing"/>
    <w:link w:val="NoSpacingChar"/>
    <w:qFormat/>
    <w:rsid w:val="00E22D28"/>
    <w:pPr>
      <w:spacing w:after="0" w:line="240" w:lineRule="auto"/>
      <w:jc w:val="both"/>
    </w:pPr>
    <w:rPr>
      <w:rFonts w:ascii="Cambria" w:hAnsi="Cambria"/>
    </w:rPr>
  </w:style>
  <w:style w:type="character" w:styleId="PlaceholderText">
    <w:name w:val="Placeholder Text"/>
    <w:basedOn w:val="DefaultParagraphFont"/>
    <w:uiPriority w:val="99"/>
    <w:semiHidden/>
    <w:rsid w:val="00E11030"/>
    <w:rPr>
      <w:color w:val="808080"/>
    </w:rPr>
  </w:style>
  <w:style w:type="character" w:customStyle="1" w:styleId="NoSpacingChar">
    <w:name w:val="No Spacing Char"/>
    <w:basedOn w:val="DefaultParagraphFont"/>
    <w:link w:val="NoSpacing"/>
    <w:rsid w:val="00E22D28"/>
    <w:rPr>
      <w:rFonts w:ascii="Cambria" w:hAnsi="Cambria"/>
    </w:rPr>
  </w:style>
  <w:style w:type="paragraph" w:customStyle="1" w:styleId="Standard">
    <w:name w:val="Standard"/>
    <w:rsid w:val="00E22D28"/>
    <w:pPr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color w:val="00000A"/>
      <w:kern w:val="3"/>
      <w:lang w:val="hr-HR"/>
    </w:rPr>
  </w:style>
  <w:style w:type="paragraph" w:customStyle="1" w:styleId="WW-Default">
    <w:name w:val="WW-Default"/>
    <w:rsid w:val="00E22D28"/>
    <w:pPr>
      <w:suppressAutoHyphens/>
      <w:autoSpaceDE w:val="0"/>
      <w:autoSpaceDN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hr-HR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F7690"/>
    <w:rPr>
      <w:rFonts w:ascii="Times New Roman" w:eastAsiaTheme="majorEastAsia" w:hAnsi="Times New Roman" w:cstheme="majorBidi"/>
      <w:b/>
      <w:bCs/>
      <w:color w:val="2E74B5" w:themeColor="accent1" w:themeShade="BF"/>
      <w:sz w:val="24"/>
      <w:szCs w:val="28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EF7690"/>
    <w:rPr>
      <w:rFonts w:eastAsiaTheme="majorEastAsia" w:cstheme="minorHAnsi"/>
      <w:b/>
      <w:bCs/>
      <w:sz w:val="24"/>
      <w:szCs w:val="26"/>
      <w:lang w:val="hr-HR" w:eastAsia="hr-HR"/>
    </w:rPr>
  </w:style>
  <w:style w:type="paragraph" w:styleId="ListParagraph">
    <w:name w:val="List Paragraph"/>
    <w:basedOn w:val="Normal"/>
    <w:uiPriority w:val="34"/>
    <w:qFormat/>
    <w:rsid w:val="00EF7690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bs-Latn-BA" w:eastAsia="en-US" w:bidi="ar-SA"/>
    </w:rPr>
  </w:style>
  <w:style w:type="paragraph" w:styleId="BodyText">
    <w:name w:val="Body Text"/>
    <w:aliases w:val="  uvlaka 2, uvlaka 3"/>
    <w:basedOn w:val="Normal"/>
    <w:link w:val="BodyTextChar"/>
    <w:rsid w:val="00EF7690"/>
    <w:pPr>
      <w:widowControl/>
      <w:suppressAutoHyphens w:val="0"/>
      <w:autoSpaceDN/>
      <w:jc w:val="both"/>
      <w:textAlignment w:val="auto"/>
    </w:pPr>
    <w:rPr>
      <w:rFonts w:eastAsia="Times New Roman" w:cs="Times New Roman"/>
      <w:noProof/>
      <w:kern w:val="0"/>
      <w:szCs w:val="20"/>
      <w:lang w:eastAsia="hr-HR" w:bidi="ar-SA"/>
    </w:rPr>
  </w:style>
  <w:style w:type="character" w:customStyle="1" w:styleId="BodyTextChar">
    <w:name w:val="Body Text Char"/>
    <w:aliases w:val="  uvlaka 2 Char, uvlaka 3 Char"/>
    <w:basedOn w:val="DefaultParagraphFont"/>
    <w:link w:val="BodyText"/>
    <w:rsid w:val="00EF7690"/>
    <w:rPr>
      <w:rFonts w:ascii="Times New Roman" w:eastAsia="Times New Roman" w:hAnsi="Times New Roman" w:cs="Times New Roman"/>
      <w:noProof/>
      <w:sz w:val="24"/>
      <w:szCs w:val="20"/>
      <w:lang w:val="hr-HR" w:eastAsia="hr-HR"/>
    </w:rPr>
  </w:style>
  <w:style w:type="paragraph" w:styleId="BodyText2">
    <w:name w:val="Body Text 2"/>
    <w:basedOn w:val="Normal"/>
    <w:link w:val="BodyText2Char"/>
    <w:rsid w:val="00EF7690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rsid w:val="00EF769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F769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668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875"/>
    <w:pPr>
      <w:widowControl/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kern w:val="0"/>
      <w:lang w:val="hr-BA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875"/>
    <w:rPr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02FC9BC89E4E27A84305C651AD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9321-FC0C-47F6-B465-20EB3223128A}"/>
      </w:docPartPr>
      <w:docPartBody>
        <w:p w:rsidR="00760649" w:rsidRDefault="00683AD2" w:rsidP="00683AD2">
          <w:pPr>
            <w:pStyle w:val="8402FC9BC89E4E27A84305C651AD295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D2"/>
    <w:rsid w:val="00027AEB"/>
    <w:rsid w:val="001F3723"/>
    <w:rsid w:val="00461B23"/>
    <w:rsid w:val="00463CDC"/>
    <w:rsid w:val="005C3846"/>
    <w:rsid w:val="00683AD2"/>
    <w:rsid w:val="00760649"/>
    <w:rsid w:val="00792060"/>
    <w:rsid w:val="0087494B"/>
    <w:rsid w:val="008945F8"/>
    <w:rsid w:val="00BF3B9B"/>
    <w:rsid w:val="00C01F66"/>
    <w:rsid w:val="00D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AD2"/>
    <w:rPr>
      <w:color w:val="808080"/>
    </w:rPr>
  </w:style>
  <w:style w:type="paragraph" w:customStyle="1" w:styleId="8402FC9BC89E4E27A84305C651AD295C">
    <w:name w:val="8402FC9BC89E4E27A84305C651AD295C"/>
    <w:rsid w:val="00683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888A3-E7FA-4AC5-8BFE-6DC1E226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Ul. Industrijska zona bb. 75260 Kalesija, Telefon:  ++ 387 35 630 488, ID broj: 4209001720008, Transakcijski račun br. 338-650-2200050636 kod UniCredit Bank dd Mostar i br.1321400311461362 kod NLB banke d.d., filijala Kalesija 	           </dc:creator>
  <cp:keywords/>
  <dc:description/>
  <cp:lastModifiedBy>Mirza</cp:lastModifiedBy>
  <cp:revision>17</cp:revision>
  <cp:lastPrinted>2023-02-04T12:19:00Z</cp:lastPrinted>
  <dcterms:created xsi:type="dcterms:W3CDTF">2021-04-12T12:39:00Z</dcterms:created>
  <dcterms:modified xsi:type="dcterms:W3CDTF">2025-10-03T12:36:00Z</dcterms:modified>
</cp:coreProperties>
</file>